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16446" w14:textId="77777777" w:rsidR="00A43BCA" w:rsidRDefault="00635D67" w:rsidP="00CB03A4">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43C7584B" w14:textId="77777777" w:rsidR="00A43BCA" w:rsidRDefault="00A43BCA" w:rsidP="00CB03A4">
      <w:pPr>
        <w:spacing w:line="480" w:lineRule="auto"/>
        <w:contextualSpacing/>
        <w:rPr>
          <w:rFonts w:ascii="Times New Roman" w:hAnsi="Times New Roman" w:cs="Times New Roman"/>
          <w:b/>
          <w:bCs/>
          <w:sz w:val="24"/>
          <w:szCs w:val="24"/>
        </w:rPr>
      </w:pPr>
    </w:p>
    <w:p w14:paraId="103561FF" w14:textId="77777777" w:rsidR="00A43BCA" w:rsidRDefault="00A43BCA" w:rsidP="00CB03A4">
      <w:pPr>
        <w:spacing w:line="480" w:lineRule="auto"/>
        <w:contextualSpacing/>
        <w:rPr>
          <w:rFonts w:ascii="Times New Roman" w:hAnsi="Times New Roman" w:cs="Times New Roman"/>
          <w:b/>
          <w:bCs/>
          <w:sz w:val="24"/>
          <w:szCs w:val="24"/>
        </w:rPr>
      </w:pPr>
    </w:p>
    <w:p w14:paraId="34BC3311" w14:textId="47B04E05" w:rsidR="0068416F" w:rsidRPr="00A43BCA" w:rsidRDefault="00635D67" w:rsidP="00CB03A4">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COMING OUT OF THE STANDING ROCK</w:t>
      </w:r>
    </w:p>
    <w:p w14:paraId="5C0571F0" w14:textId="57F0F69A" w:rsidR="00CB03A4" w:rsidRDefault="00CB03A4" w:rsidP="00CB03A4">
      <w:pPr>
        <w:spacing w:line="480" w:lineRule="auto"/>
        <w:contextualSpacing/>
        <w:rPr>
          <w:rFonts w:ascii="Times New Roman" w:hAnsi="Times New Roman" w:cs="Times New Roman"/>
          <w:sz w:val="24"/>
          <w:szCs w:val="24"/>
        </w:rPr>
      </w:pPr>
    </w:p>
    <w:p w14:paraId="523159CC" w14:textId="4A4EB782" w:rsidR="00CB03A4" w:rsidRDefault="00CB03A4" w:rsidP="00CB03A4">
      <w:pPr>
        <w:spacing w:line="480" w:lineRule="auto"/>
        <w:contextualSpacing/>
        <w:rPr>
          <w:rFonts w:ascii="Times New Roman" w:hAnsi="Times New Roman" w:cs="Times New Roman"/>
          <w:sz w:val="24"/>
          <w:szCs w:val="24"/>
        </w:rPr>
      </w:pPr>
    </w:p>
    <w:p w14:paraId="48E2CC3E" w14:textId="51AE0070" w:rsidR="00CB03A4" w:rsidRDefault="00635D67" w:rsidP="00CB03A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1B53B4BD" w14:textId="77777777" w:rsidR="00A43BCA" w:rsidRDefault="00A43BCA" w:rsidP="00CB03A4">
      <w:pPr>
        <w:spacing w:line="480" w:lineRule="auto"/>
        <w:contextualSpacing/>
        <w:rPr>
          <w:rFonts w:ascii="Times New Roman" w:hAnsi="Times New Roman" w:cs="Times New Roman"/>
          <w:sz w:val="24"/>
          <w:szCs w:val="24"/>
        </w:rPr>
      </w:pPr>
    </w:p>
    <w:p w14:paraId="35A7D482" w14:textId="75496749" w:rsidR="00CB03A4" w:rsidRDefault="00635D67" w:rsidP="00CB03A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1C0C574E" w14:textId="77777777" w:rsidR="00A43BCA" w:rsidRDefault="00A43BCA" w:rsidP="00CB03A4">
      <w:pPr>
        <w:spacing w:line="480" w:lineRule="auto"/>
        <w:contextualSpacing/>
        <w:rPr>
          <w:rFonts w:ascii="Times New Roman" w:hAnsi="Times New Roman" w:cs="Times New Roman"/>
          <w:sz w:val="24"/>
          <w:szCs w:val="24"/>
        </w:rPr>
      </w:pPr>
    </w:p>
    <w:p w14:paraId="7E9A6704" w14:textId="207E0183" w:rsidR="00CB03A4" w:rsidRDefault="00635D67" w:rsidP="00CB03A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1D0CBE95" w14:textId="77777777" w:rsidR="00A43BCA" w:rsidRDefault="00A43BCA" w:rsidP="00CB03A4">
      <w:pPr>
        <w:spacing w:line="480" w:lineRule="auto"/>
        <w:contextualSpacing/>
        <w:rPr>
          <w:rFonts w:ascii="Times New Roman" w:hAnsi="Times New Roman" w:cs="Times New Roman"/>
          <w:sz w:val="24"/>
          <w:szCs w:val="24"/>
        </w:rPr>
      </w:pPr>
    </w:p>
    <w:p w14:paraId="42B28530" w14:textId="105D8B68" w:rsidR="00CB03A4" w:rsidRDefault="00635D67" w:rsidP="00CB03A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3F9A3B0" w14:textId="77777777" w:rsidR="00CB03A4" w:rsidRDefault="00635D67">
      <w:pPr>
        <w:rPr>
          <w:rFonts w:ascii="Times New Roman" w:hAnsi="Times New Roman" w:cs="Times New Roman"/>
          <w:sz w:val="24"/>
          <w:szCs w:val="24"/>
        </w:rPr>
      </w:pPr>
      <w:r>
        <w:rPr>
          <w:rFonts w:ascii="Times New Roman" w:hAnsi="Times New Roman" w:cs="Times New Roman"/>
          <w:sz w:val="24"/>
          <w:szCs w:val="24"/>
        </w:rPr>
        <w:br w:type="page"/>
      </w:r>
    </w:p>
    <w:p w14:paraId="1675FF00" w14:textId="438CDD4B" w:rsidR="00CB03A4" w:rsidRDefault="00635D67" w:rsidP="00CB03A4">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B03A4">
        <w:rPr>
          <w:rFonts w:ascii="Times New Roman" w:hAnsi="Times New Roman" w:cs="Times New Roman"/>
          <w:sz w:val="24"/>
          <w:szCs w:val="24"/>
        </w:rPr>
        <w:t>The fights against the Dakota Access Pipeline at Standing Rock in North Dakota made a powerful scene comprising a wide-scope of joined vi</w:t>
      </w:r>
      <w:r w:rsidRPr="00CB03A4">
        <w:rPr>
          <w:rFonts w:ascii="Times New Roman" w:hAnsi="Times New Roman" w:cs="Times New Roman"/>
          <w:sz w:val="24"/>
          <w:szCs w:val="24"/>
        </w:rPr>
        <w:t>sual and literary accounts and political exhibitions. In this article, I participate in participatory activism exploration to dissect how the Standing Rock Sioux Tribe and indigenous grass-root pioneers conveyed advanced media stages to prepare people from</w:t>
      </w:r>
      <w:r w:rsidRPr="00CB03A4">
        <w:rPr>
          <w:rFonts w:ascii="Times New Roman" w:hAnsi="Times New Roman" w:cs="Times New Roman"/>
          <w:sz w:val="24"/>
          <w:szCs w:val="24"/>
        </w:rPr>
        <w:t xml:space="preserve"> differing topographical areas and assorted social, racial, political, and monetary foundations to share their masterful articulation and to remain in solidarity with The Standing Rock Sioux Tribe</w:t>
      </w:r>
      <w:r w:rsidR="00C42200">
        <w:rPr>
          <w:rFonts w:ascii="Times New Roman" w:hAnsi="Times New Roman" w:cs="Times New Roman"/>
          <w:sz w:val="24"/>
          <w:szCs w:val="24"/>
        </w:rPr>
        <w:t xml:space="preserve"> (</w:t>
      </w:r>
      <w:r w:rsidR="00C42200" w:rsidRPr="00C42200">
        <w:rPr>
          <w:rFonts w:ascii="Times New Roman" w:hAnsi="Times New Roman" w:cs="Times New Roman"/>
          <w:color w:val="222222"/>
          <w:sz w:val="24"/>
          <w:szCs w:val="24"/>
          <w:shd w:val="clear" w:color="auto" w:fill="FFFFFF"/>
        </w:rPr>
        <w:t>Jewett</w:t>
      </w:r>
      <w:r w:rsidR="00C42200">
        <w:rPr>
          <w:rFonts w:ascii="Times New Roman" w:hAnsi="Times New Roman" w:cs="Times New Roman"/>
          <w:color w:val="222222"/>
          <w:sz w:val="24"/>
          <w:szCs w:val="24"/>
          <w:shd w:val="clear" w:color="auto" w:fill="FFFFFF"/>
        </w:rPr>
        <w:t xml:space="preserve"> et al. (2019).</w:t>
      </w:r>
      <w:r w:rsidRPr="00CB03A4">
        <w:rPr>
          <w:rFonts w:ascii="Times New Roman" w:hAnsi="Times New Roman" w:cs="Times New Roman"/>
          <w:sz w:val="24"/>
          <w:szCs w:val="24"/>
        </w:rPr>
        <w:t xml:space="preserve"> In analyzing the complex visual scen</w:t>
      </w:r>
      <w:r w:rsidRPr="00CB03A4">
        <w:rPr>
          <w:rFonts w:ascii="Times New Roman" w:hAnsi="Times New Roman" w:cs="Times New Roman"/>
          <w:sz w:val="24"/>
          <w:szCs w:val="24"/>
        </w:rPr>
        <w:t>e of social creativity as political banners at the Native Nations Rise March in Washington D.C., I show how to fight coordinators delivered foul play outlines that prepared individual demonstrations of imaginative articulation, which politically adjust ind</w:t>
      </w:r>
      <w:r w:rsidRPr="00CB03A4">
        <w:rPr>
          <w:rFonts w:ascii="Times New Roman" w:hAnsi="Times New Roman" w:cs="Times New Roman"/>
          <w:sz w:val="24"/>
          <w:szCs w:val="24"/>
        </w:rPr>
        <w:t xml:space="preserve">igenous and non-indigenous protestors together in emotional solidarity and cunning opposition. </w:t>
      </w:r>
    </w:p>
    <w:p w14:paraId="710F1DC6" w14:textId="1EBDDB63" w:rsidR="00303460" w:rsidRDefault="00635D67" w:rsidP="00303460">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303460">
        <w:rPr>
          <w:rFonts w:ascii="Times New Roman" w:hAnsi="Times New Roman" w:cs="Times New Roman"/>
          <w:sz w:val="24"/>
          <w:szCs w:val="24"/>
        </w:rPr>
        <w:t xml:space="preserve"> Some religions center around humankind's function in keeping up offset with the characteristic world. Maintaining this parity can improve the human cond</w:t>
      </w:r>
      <w:r w:rsidRPr="00303460">
        <w:rPr>
          <w:rFonts w:ascii="Times New Roman" w:hAnsi="Times New Roman" w:cs="Times New Roman"/>
          <w:sz w:val="24"/>
          <w:szCs w:val="24"/>
        </w:rPr>
        <w:t xml:space="preserve">ition, and upsetting the parity can have awful outcomes. Many Native American religions imagine life and demise repetitive </w:t>
      </w:r>
      <w:r w:rsidR="00C42200">
        <w:rPr>
          <w:rFonts w:ascii="Times New Roman" w:hAnsi="Times New Roman" w:cs="Times New Roman"/>
          <w:sz w:val="24"/>
          <w:szCs w:val="24"/>
        </w:rPr>
        <w:t>(</w:t>
      </w:r>
      <w:r w:rsidR="00C42200" w:rsidRPr="00C42200">
        <w:rPr>
          <w:rFonts w:ascii="Times New Roman" w:hAnsi="Times New Roman" w:cs="Times New Roman"/>
          <w:color w:val="222222"/>
          <w:sz w:val="24"/>
          <w:szCs w:val="24"/>
          <w:shd w:val="clear" w:color="auto" w:fill="FFFFFF"/>
        </w:rPr>
        <w:t>Kluttz</w:t>
      </w:r>
      <w:r w:rsidR="00C42200">
        <w:rPr>
          <w:rFonts w:ascii="Times New Roman" w:hAnsi="Times New Roman" w:cs="Times New Roman"/>
          <w:color w:val="222222"/>
          <w:sz w:val="24"/>
          <w:szCs w:val="24"/>
          <w:shd w:val="clear" w:color="auto" w:fill="FFFFFF"/>
        </w:rPr>
        <w:t xml:space="preserve"> et al. (2020)</w:t>
      </w:r>
      <w:r w:rsidRPr="00303460">
        <w:rPr>
          <w:rFonts w:ascii="Times New Roman" w:hAnsi="Times New Roman" w:cs="Times New Roman"/>
          <w:sz w:val="24"/>
          <w:szCs w:val="24"/>
        </w:rPr>
        <w:t>. In a few beliefs, the perished changes to the place where there is the dead may look like this life.</w:t>
      </w:r>
      <w:r w:rsidRPr="00303460">
        <w:t xml:space="preserve"> </w:t>
      </w:r>
      <w:r>
        <w:rPr>
          <w:rFonts w:ascii="Times New Roman" w:hAnsi="Times New Roman" w:cs="Times New Roman"/>
          <w:sz w:val="24"/>
          <w:szCs w:val="24"/>
        </w:rPr>
        <w:t>Myths</w:t>
      </w:r>
      <w:r w:rsidRPr="00303460">
        <w:rPr>
          <w:rFonts w:ascii="Times New Roman" w:hAnsi="Times New Roman" w:cs="Times New Roman"/>
          <w:sz w:val="24"/>
          <w:szCs w:val="24"/>
        </w:rPr>
        <w:t xml:space="preserve"> contain sacrosanct information about harsh reality and the idea of the world. The world is accepted to have been made by maker divinities. The whole world, and the numerous components inside it—including individuals—might be taken to be implanted by </w:t>
      </w:r>
      <w:r w:rsidRPr="00303460">
        <w:rPr>
          <w:rFonts w:ascii="Times New Roman" w:hAnsi="Times New Roman" w:cs="Times New Roman"/>
          <w:sz w:val="24"/>
          <w:szCs w:val="24"/>
        </w:rPr>
        <w:t>the unnatural substance of a Supreme Being, or Great Spirit.</w:t>
      </w:r>
      <w:r>
        <w:rPr>
          <w:rFonts w:ascii="Times New Roman" w:hAnsi="Times New Roman" w:cs="Times New Roman"/>
          <w:sz w:val="24"/>
          <w:szCs w:val="24"/>
        </w:rPr>
        <w:t xml:space="preserve"> In practice, there </w:t>
      </w:r>
      <w:r w:rsidRPr="00303460">
        <w:t xml:space="preserve">are </w:t>
      </w:r>
      <w:r w:rsidRPr="00303460">
        <w:rPr>
          <w:rFonts w:ascii="Times New Roman" w:hAnsi="Times New Roman" w:cs="Times New Roman"/>
          <w:sz w:val="24"/>
          <w:szCs w:val="24"/>
        </w:rPr>
        <w:t>Proportional connections between individuals, land, plants, and different creatures. People are one aspect of the overall request, not at the top.</w:t>
      </w:r>
    </w:p>
    <w:p w14:paraId="5573ECBF" w14:textId="77777777" w:rsidR="00303460" w:rsidRDefault="00635D67">
      <w:pPr>
        <w:rPr>
          <w:rFonts w:ascii="Times New Roman" w:hAnsi="Times New Roman" w:cs="Times New Roman"/>
          <w:sz w:val="24"/>
          <w:szCs w:val="24"/>
        </w:rPr>
      </w:pPr>
      <w:r>
        <w:rPr>
          <w:rFonts w:ascii="Times New Roman" w:hAnsi="Times New Roman" w:cs="Times New Roman"/>
          <w:sz w:val="24"/>
          <w:szCs w:val="24"/>
        </w:rPr>
        <w:lastRenderedPageBreak/>
        <w:br w:type="page"/>
      </w:r>
    </w:p>
    <w:p w14:paraId="71699DC0" w14:textId="281276CD" w:rsidR="00CB03A4" w:rsidRDefault="00635D67" w:rsidP="00303460">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76450D7" w14:textId="2F6A3DE1" w:rsidR="00C42200" w:rsidRDefault="00635D67" w:rsidP="00C42200">
      <w:pPr>
        <w:spacing w:line="480" w:lineRule="auto"/>
        <w:ind w:left="720" w:hanging="720"/>
        <w:contextualSpacing/>
        <w:jc w:val="both"/>
        <w:rPr>
          <w:rFonts w:ascii="Times New Roman" w:hAnsi="Times New Roman" w:cs="Times New Roman"/>
          <w:color w:val="222222"/>
          <w:sz w:val="24"/>
          <w:szCs w:val="24"/>
          <w:shd w:val="clear" w:color="auto" w:fill="FFFFFF"/>
        </w:rPr>
      </w:pPr>
      <w:r w:rsidRPr="00C42200">
        <w:rPr>
          <w:rFonts w:ascii="Times New Roman" w:hAnsi="Times New Roman" w:cs="Times New Roman"/>
          <w:color w:val="222222"/>
          <w:sz w:val="24"/>
          <w:szCs w:val="24"/>
          <w:shd w:val="clear" w:color="auto" w:fill="FFFFFF"/>
        </w:rPr>
        <w:t xml:space="preserve">Jewett, C., </w:t>
      </w:r>
      <w:r w:rsidRPr="00C42200">
        <w:rPr>
          <w:rFonts w:ascii="Times New Roman" w:hAnsi="Times New Roman" w:cs="Times New Roman"/>
          <w:color w:val="222222"/>
          <w:sz w:val="24"/>
          <w:szCs w:val="24"/>
          <w:shd w:val="clear" w:color="auto" w:fill="FFFFFF"/>
        </w:rPr>
        <w:t>&amp; Garavan, M. (2019). Water is life–an indigenous perspective from a Standing Rock Water Protector. </w:t>
      </w:r>
      <w:r w:rsidRPr="00C42200">
        <w:rPr>
          <w:rFonts w:ascii="Times New Roman" w:hAnsi="Times New Roman" w:cs="Times New Roman"/>
          <w:i/>
          <w:iCs/>
          <w:color w:val="222222"/>
          <w:sz w:val="24"/>
          <w:szCs w:val="24"/>
          <w:shd w:val="clear" w:color="auto" w:fill="FFFFFF"/>
        </w:rPr>
        <w:t>Community Development Journal</w:t>
      </w:r>
      <w:r w:rsidRPr="00C42200">
        <w:rPr>
          <w:rFonts w:ascii="Times New Roman" w:hAnsi="Times New Roman" w:cs="Times New Roman"/>
          <w:color w:val="222222"/>
          <w:sz w:val="24"/>
          <w:szCs w:val="24"/>
          <w:shd w:val="clear" w:color="auto" w:fill="FFFFFF"/>
        </w:rPr>
        <w:t>, </w:t>
      </w:r>
      <w:r w:rsidRPr="00C42200">
        <w:rPr>
          <w:rFonts w:ascii="Times New Roman" w:hAnsi="Times New Roman" w:cs="Times New Roman"/>
          <w:i/>
          <w:iCs/>
          <w:color w:val="222222"/>
          <w:sz w:val="24"/>
          <w:szCs w:val="24"/>
          <w:shd w:val="clear" w:color="auto" w:fill="FFFFFF"/>
        </w:rPr>
        <w:t>54</w:t>
      </w:r>
      <w:r w:rsidRPr="00C42200">
        <w:rPr>
          <w:rFonts w:ascii="Times New Roman" w:hAnsi="Times New Roman" w:cs="Times New Roman"/>
          <w:color w:val="222222"/>
          <w:sz w:val="24"/>
          <w:szCs w:val="24"/>
          <w:shd w:val="clear" w:color="auto" w:fill="FFFFFF"/>
        </w:rPr>
        <w:t>(1), 42-58.</w:t>
      </w:r>
    </w:p>
    <w:p w14:paraId="19D4BA35" w14:textId="4B0D96DA" w:rsidR="00C42200" w:rsidRPr="00C42200" w:rsidRDefault="00635D67" w:rsidP="00C42200">
      <w:pPr>
        <w:spacing w:line="480" w:lineRule="auto"/>
        <w:ind w:left="720" w:hanging="720"/>
        <w:contextualSpacing/>
        <w:jc w:val="both"/>
        <w:rPr>
          <w:rFonts w:ascii="Times New Roman" w:hAnsi="Times New Roman" w:cs="Times New Roman"/>
          <w:b/>
          <w:bCs/>
          <w:sz w:val="24"/>
          <w:szCs w:val="24"/>
        </w:rPr>
      </w:pPr>
      <w:r w:rsidRPr="00C42200">
        <w:rPr>
          <w:rFonts w:ascii="Times New Roman" w:hAnsi="Times New Roman" w:cs="Times New Roman"/>
          <w:color w:val="222222"/>
          <w:sz w:val="24"/>
          <w:szCs w:val="24"/>
          <w:shd w:val="clear" w:color="auto" w:fill="FFFFFF"/>
        </w:rPr>
        <w:t>Kluttz, J., Walker, J., &amp; Walter, P. (2020). Learning towards decolonizing relationships at standing rock. </w:t>
      </w:r>
      <w:r w:rsidRPr="00C42200">
        <w:rPr>
          <w:rFonts w:ascii="Times New Roman" w:hAnsi="Times New Roman" w:cs="Times New Roman"/>
          <w:i/>
          <w:iCs/>
          <w:color w:val="222222"/>
          <w:sz w:val="24"/>
          <w:szCs w:val="24"/>
          <w:shd w:val="clear" w:color="auto" w:fill="FFFFFF"/>
        </w:rPr>
        <w:t>Studies in the Education of Adults</w:t>
      </w:r>
      <w:r w:rsidRPr="00C42200">
        <w:rPr>
          <w:rFonts w:ascii="Times New Roman" w:hAnsi="Times New Roman" w:cs="Times New Roman"/>
          <w:color w:val="222222"/>
          <w:sz w:val="24"/>
          <w:szCs w:val="24"/>
          <w:shd w:val="clear" w:color="auto" w:fill="FFFFFF"/>
        </w:rPr>
        <w:t>, 1-19.</w:t>
      </w:r>
    </w:p>
    <w:sectPr w:rsidR="00C42200" w:rsidRPr="00C42200" w:rsidSect="00A43B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31818" w14:textId="77777777" w:rsidR="00000000" w:rsidRDefault="00635D67">
      <w:pPr>
        <w:spacing w:after="0" w:line="240" w:lineRule="auto"/>
      </w:pPr>
      <w:r>
        <w:separator/>
      </w:r>
    </w:p>
  </w:endnote>
  <w:endnote w:type="continuationSeparator" w:id="0">
    <w:p w14:paraId="4516FB98" w14:textId="77777777" w:rsidR="00000000" w:rsidRDefault="0063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218174" w14:textId="77777777" w:rsidR="00000000" w:rsidRDefault="00635D67">
      <w:pPr>
        <w:spacing w:after="0" w:line="240" w:lineRule="auto"/>
      </w:pPr>
      <w:r>
        <w:separator/>
      </w:r>
    </w:p>
  </w:footnote>
  <w:footnote w:type="continuationSeparator" w:id="0">
    <w:p w14:paraId="489E052A" w14:textId="77777777" w:rsidR="00000000" w:rsidRDefault="00635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9502683"/>
      <w:docPartObj>
        <w:docPartGallery w:val="Page Numbers (Top of Page)"/>
        <w:docPartUnique/>
      </w:docPartObj>
    </w:sdtPr>
    <w:sdtEndPr>
      <w:rPr>
        <w:noProof/>
      </w:rPr>
    </w:sdtEndPr>
    <w:sdtContent>
      <w:p w14:paraId="5EC9E581" w14:textId="505835C9" w:rsidR="00C42200" w:rsidRDefault="00635D67" w:rsidP="00A43BCA">
        <w:pPr>
          <w:pStyle w:val="Header"/>
          <w:jc w:val="center"/>
        </w:pPr>
        <w:r>
          <w:t>COMING OUT OF STANDING ROCK</w:t>
        </w:r>
        <w:r>
          <w:tab/>
        </w:r>
        <w:r>
          <w:tab/>
        </w:r>
        <w:r>
          <w:fldChar w:fldCharType="begin"/>
        </w:r>
        <w:r>
          <w:instrText xml:space="preserve"> PAGE   \* MERGEFORMAT </w:instrText>
        </w:r>
        <w:r>
          <w:fldChar w:fldCharType="separate"/>
        </w:r>
        <w:r>
          <w:rPr>
            <w:noProof/>
          </w:rPr>
          <w:t>2</w:t>
        </w:r>
        <w:r>
          <w:rPr>
            <w:noProof/>
          </w:rPr>
          <w:fldChar w:fldCharType="end"/>
        </w:r>
      </w:p>
    </w:sdtContent>
  </w:sdt>
  <w:p w14:paraId="6E5DFE77" w14:textId="77777777" w:rsidR="00C42200" w:rsidRDefault="00C42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1256723"/>
      <w:docPartObj>
        <w:docPartGallery w:val="Page Numbers (Top of Page)"/>
        <w:docPartUnique/>
      </w:docPartObj>
    </w:sdtPr>
    <w:sdtEndPr>
      <w:rPr>
        <w:noProof/>
      </w:rPr>
    </w:sdtEndPr>
    <w:sdtContent>
      <w:p w14:paraId="7F234F85" w14:textId="7AD8A873" w:rsidR="00A43BCA" w:rsidRDefault="00635D67">
        <w:pPr>
          <w:pStyle w:val="Header"/>
          <w:jc w:val="right"/>
        </w:pPr>
        <w:r>
          <w:t xml:space="preserve">Running head: COMING OUT OF </w:t>
        </w:r>
        <w:r>
          <w:t>THE STANDING ROCK</w:t>
        </w:r>
        <w:r>
          <w:tab/>
        </w:r>
        <w:r>
          <w:fldChar w:fldCharType="begin"/>
        </w:r>
        <w:r>
          <w:instrText xml:space="preserve"> PAGE   \* MERGEFORMAT </w:instrText>
        </w:r>
        <w:r>
          <w:fldChar w:fldCharType="separate"/>
        </w:r>
        <w:r>
          <w:rPr>
            <w:noProof/>
          </w:rPr>
          <w:t>2</w:t>
        </w:r>
        <w:r>
          <w:rPr>
            <w:noProof/>
          </w:rPr>
          <w:fldChar w:fldCharType="end"/>
        </w:r>
      </w:p>
    </w:sdtContent>
  </w:sdt>
  <w:p w14:paraId="7D78093F" w14:textId="77777777" w:rsidR="00A43BCA" w:rsidRDefault="00A43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A4"/>
    <w:rsid w:val="00303460"/>
    <w:rsid w:val="00635D67"/>
    <w:rsid w:val="0068416F"/>
    <w:rsid w:val="00A43BCA"/>
    <w:rsid w:val="00AE2D6B"/>
    <w:rsid w:val="00B40AD6"/>
    <w:rsid w:val="00C42200"/>
    <w:rsid w:val="00CB03A4"/>
    <w:rsid w:val="00D70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AFF3F2E-F99A-4AE6-B008-47A63308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200"/>
  </w:style>
  <w:style w:type="paragraph" w:styleId="Footer">
    <w:name w:val="footer"/>
    <w:basedOn w:val="Normal"/>
    <w:link w:val="FooterChar"/>
    <w:uiPriority w:val="99"/>
    <w:unhideWhenUsed/>
    <w:rsid w:val="00C42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2020-09-28T09:03:00Z</dcterms:created>
  <dcterms:modified xsi:type="dcterms:W3CDTF">2020-09-28T09:03:00Z</dcterms:modified>
</cp:coreProperties>
</file>